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D72202">
      <w:pPr>
        <w:jc w:val="center"/>
        <w:rPr>
          <w:b/>
          <w:sz w:val="24"/>
          <w:szCs w:val="24"/>
        </w:rPr>
      </w:pPr>
      <w:r>
        <w:rPr>
          <w:b/>
          <w:sz w:val="24"/>
          <w:szCs w:val="24"/>
        </w:rPr>
        <w:t>P</w:t>
      </w:r>
      <w:r>
        <w:rPr>
          <w:rFonts w:hint="eastAsia"/>
          <w:b/>
          <w:sz w:val="24"/>
          <w:szCs w:val="24"/>
        </w:rPr>
        <w:t>eanut shelling machine/peanut sheller</w:t>
      </w:r>
    </w:p>
    <w:p w14:paraId="3440612C">
      <w:pPr>
        <w:rPr>
          <w:rStyle w:val="7"/>
          <w:rFonts w:ascii="Arial" w:hAnsi="Arial" w:cs="Arial"/>
          <w:color w:val="333333"/>
          <w:szCs w:val="21"/>
        </w:rPr>
      </w:pPr>
      <w:r>
        <w:rPr>
          <w:rStyle w:val="7"/>
          <w:rFonts w:ascii="Arial" w:hAnsi="Arial" w:cs="Arial"/>
          <w:color w:val="333333"/>
          <w:szCs w:val="21"/>
        </w:rPr>
        <w:t> Description</w:t>
      </w:r>
    </w:p>
    <w:p w14:paraId="24DCA28A">
      <w:pPr>
        <w:rPr>
          <w:sz w:val="24"/>
          <w:szCs w:val="24"/>
        </w:rPr>
      </w:pPr>
      <w:r>
        <w:rPr>
          <w:sz w:val="24"/>
          <w:szCs w:val="24"/>
        </w:rPr>
        <w:t>P</w:t>
      </w:r>
      <w:r>
        <w:rPr>
          <w:rFonts w:hint="eastAsia"/>
          <w:sz w:val="24"/>
          <w:szCs w:val="24"/>
        </w:rPr>
        <w:t xml:space="preserve">eanut shelling machine is designed to clean raw, sun-dried in shell peanut,split the hard shell and get the red skin peanut. </w:t>
      </w:r>
      <w:r>
        <w:rPr>
          <w:sz w:val="24"/>
          <w:szCs w:val="24"/>
        </w:rPr>
        <w:t>P</w:t>
      </w:r>
      <w:r>
        <w:rPr>
          <w:rFonts w:hint="eastAsia"/>
          <w:sz w:val="24"/>
          <w:szCs w:val="24"/>
        </w:rPr>
        <w:t>eanut sheller have two part: one is de-stoner and another is shelling machine.</w:t>
      </w:r>
    </w:p>
    <w:p w14:paraId="3F543B89">
      <w:pPr>
        <w:rPr>
          <w:sz w:val="24"/>
          <w:szCs w:val="24"/>
        </w:rPr>
      </w:pPr>
      <w:r>
        <w:rPr>
          <w:rFonts w:hint="eastAsia"/>
          <w:sz w:val="24"/>
          <w:szCs w:val="24"/>
        </w:rPr>
        <w:t xml:space="preserve">Put peanut in shell into de-stoner </w:t>
      </w:r>
      <w:r>
        <w:rPr>
          <w:sz w:val="24"/>
          <w:szCs w:val="24"/>
        </w:rPr>
        <w:t>separate the stones by the gravity</w:t>
      </w:r>
      <w:r>
        <w:rPr>
          <w:rFonts w:hint="eastAsia"/>
          <w:sz w:val="24"/>
          <w:szCs w:val="24"/>
        </w:rPr>
        <w:t xml:space="preserve">. </w:t>
      </w:r>
      <w:r>
        <w:rPr>
          <w:sz w:val="24"/>
          <w:szCs w:val="24"/>
        </w:rPr>
        <w:t>and then is conveyed to the feed hopper in the shelling machine by the stoning machine. When it meets 1# drum first, the rotating rasp bar working against the fixed grid notch-board detaches the shell from the nut. As they go further and drop from the front sifter, most shells will be blown outside of the machine as they pass the ventilation tube. When the shelled nut, together with few of the un-shelled peanuts drop to the separating sieve, the kernels would go to the surface to the outlet and reach the container. Meanwhile, the remaining un-shelled peanut would go under the sieve to the second outlet and reach the 2# drum, conveyed by the air blower, for repeat shelling against the thin grid notch-board. After this process, they would again go through the separating sieve to detach the shell from the kernel. The nut and shell would be separated thoroughly after the whole process.</w:t>
      </w:r>
    </w:p>
    <w:p w14:paraId="1D7CC17A">
      <w:pPr>
        <w:rPr>
          <w:rStyle w:val="7"/>
          <w:rFonts w:cs="Arial"/>
          <w:color w:val="333333"/>
          <w:sz w:val="24"/>
          <w:szCs w:val="24"/>
        </w:rPr>
      </w:pPr>
      <w:r>
        <w:rPr>
          <w:rStyle w:val="7"/>
          <w:rFonts w:cs="Arial"/>
          <w:color w:val="333333"/>
          <w:sz w:val="24"/>
          <w:szCs w:val="24"/>
        </w:rPr>
        <w:t>Features</w:t>
      </w:r>
    </w:p>
    <w:p w14:paraId="56171C77">
      <w:pPr>
        <w:rPr>
          <w:sz w:val="24"/>
          <w:szCs w:val="24"/>
        </w:rPr>
      </w:pPr>
      <w:r>
        <w:rPr>
          <w:sz w:val="24"/>
          <w:szCs w:val="24"/>
        </w:rPr>
        <w:t>Stable performance &amp; strong durability</w:t>
      </w:r>
    </w:p>
    <w:p w14:paraId="4FABF572">
      <w:pPr>
        <w:rPr>
          <w:sz w:val="24"/>
          <w:szCs w:val="24"/>
        </w:rPr>
      </w:pPr>
      <w:r>
        <w:rPr>
          <w:sz w:val="24"/>
          <w:szCs w:val="24"/>
        </w:rPr>
        <w:t>High efficiency &amp; minimum split ratio</w:t>
      </w:r>
    </w:p>
    <w:p w14:paraId="12F3E5B1">
      <w:pPr>
        <w:rPr>
          <w:sz w:val="24"/>
          <w:szCs w:val="24"/>
        </w:rPr>
      </w:pPr>
      <w:r>
        <w:rPr>
          <w:sz w:val="24"/>
          <w:szCs w:val="24"/>
        </w:rPr>
        <w:t>Easy operation &amp; low maintenance</w:t>
      </w:r>
    </w:p>
    <w:p w14:paraId="31BF7185">
      <w:pPr>
        <w:rPr>
          <w:sz w:val="24"/>
          <w:szCs w:val="24"/>
        </w:rPr>
      </w:pPr>
      <w:r>
        <w:rPr>
          <w:sz w:val="24"/>
          <w:szCs w:val="24"/>
        </w:rPr>
        <w:t>Peanut sheller increases productivity and saves manpower, it promotes the raw peanut processing from family to industrial scale.</w:t>
      </w:r>
    </w:p>
    <w:p w14:paraId="1872DA54">
      <w:pPr>
        <w:rPr>
          <w:rFonts w:hint="eastAsia"/>
          <w:b/>
          <w:sz w:val="24"/>
          <w:szCs w:val="24"/>
        </w:rPr>
      </w:pPr>
      <w:r>
        <w:rPr>
          <w:rFonts w:hint="eastAsia"/>
          <w:b/>
          <w:sz w:val="24"/>
          <w:szCs w:val="24"/>
        </w:rPr>
        <w:t>Technical information</w:t>
      </w:r>
    </w:p>
    <w:tbl>
      <w:tblPr>
        <w:tblStyle w:val="5"/>
        <w:tblpPr w:leftFromText="180" w:rightFromText="180" w:vertAnchor="text" w:horzAnchor="page" w:tblpX="863" w:tblpY="282"/>
        <w:tblOverlap w:val="never"/>
        <w:tblW w:w="107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83"/>
        <w:gridCol w:w="2417"/>
        <w:gridCol w:w="2417"/>
        <w:gridCol w:w="2601"/>
      </w:tblGrid>
      <w:tr w14:paraId="67C1A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3283" w:type="dxa"/>
            <w:tcBorders>
              <w:top w:val="single" w:color="auto" w:sz="4" w:space="0"/>
              <w:left w:val="single" w:color="auto" w:sz="4" w:space="0"/>
              <w:bottom w:val="single" w:color="auto" w:sz="4" w:space="0"/>
              <w:right w:val="single" w:color="auto" w:sz="4" w:space="0"/>
            </w:tcBorders>
            <w:shd w:val="clear" w:color="auto" w:fill="B3B3B3"/>
          </w:tcPr>
          <w:p w14:paraId="3F1D7C50">
            <w:pPr>
              <w:numPr>
                <w:ilvl w:val="0"/>
                <w:numId w:val="0"/>
              </w:numPr>
              <w:ind w:leftChars="0"/>
              <w:jc w:val="center"/>
              <w:rPr>
                <w:sz w:val="24"/>
                <w:szCs w:val="24"/>
              </w:rPr>
            </w:pPr>
            <w:r>
              <w:rPr>
                <w:sz w:val="24"/>
                <w:szCs w:val="24"/>
              </w:rPr>
              <w:t>Model</w:t>
            </w:r>
          </w:p>
        </w:tc>
        <w:tc>
          <w:tcPr>
            <w:tcW w:w="2417" w:type="dxa"/>
            <w:tcBorders>
              <w:top w:val="single" w:color="auto" w:sz="4" w:space="0"/>
              <w:left w:val="single" w:color="auto" w:sz="4" w:space="0"/>
              <w:bottom w:val="single" w:color="auto" w:sz="4" w:space="0"/>
              <w:right w:val="single" w:color="auto" w:sz="4" w:space="0"/>
            </w:tcBorders>
            <w:shd w:val="clear" w:color="auto" w:fill="B3B3B3"/>
          </w:tcPr>
          <w:p w14:paraId="2348180D">
            <w:pPr>
              <w:numPr>
                <w:ilvl w:val="0"/>
                <w:numId w:val="0"/>
              </w:numPr>
              <w:ind w:leftChars="0"/>
              <w:jc w:val="center"/>
              <w:rPr>
                <w:sz w:val="24"/>
                <w:szCs w:val="24"/>
              </w:rPr>
            </w:pPr>
            <w:r>
              <w:rPr>
                <w:rFonts w:hint="eastAsia"/>
                <w:sz w:val="24"/>
                <w:szCs w:val="24"/>
                <w:lang w:val="en-US" w:eastAsia="zh-CN"/>
              </w:rPr>
              <w:t>TK</w:t>
            </w:r>
            <w:r>
              <w:rPr>
                <w:sz w:val="24"/>
                <w:szCs w:val="24"/>
              </w:rPr>
              <w:t>-2000</w:t>
            </w:r>
          </w:p>
        </w:tc>
        <w:tc>
          <w:tcPr>
            <w:tcW w:w="2417" w:type="dxa"/>
            <w:tcBorders>
              <w:top w:val="single" w:color="auto" w:sz="4" w:space="0"/>
              <w:left w:val="single" w:color="auto" w:sz="4" w:space="0"/>
              <w:bottom w:val="single" w:color="auto" w:sz="4" w:space="0"/>
              <w:right w:val="single" w:color="auto" w:sz="4" w:space="0"/>
            </w:tcBorders>
            <w:shd w:val="clear" w:color="auto" w:fill="B3B3B3"/>
          </w:tcPr>
          <w:p w14:paraId="16E465E8">
            <w:pPr>
              <w:numPr>
                <w:ilvl w:val="0"/>
                <w:numId w:val="0"/>
              </w:numPr>
              <w:ind w:leftChars="0"/>
              <w:jc w:val="center"/>
              <w:rPr>
                <w:sz w:val="24"/>
                <w:szCs w:val="24"/>
              </w:rPr>
            </w:pPr>
            <w:r>
              <w:rPr>
                <w:rFonts w:hint="eastAsia"/>
                <w:sz w:val="24"/>
                <w:szCs w:val="24"/>
                <w:lang w:val="en-US" w:eastAsia="zh-CN"/>
              </w:rPr>
              <w:t>TK</w:t>
            </w:r>
            <w:r>
              <w:rPr>
                <w:sz w:val="24"/>
                <w:szCs w:val="24"/>
              </w:rPr>
              <w:t>-3000</w:t>
            </w:r>
          </w:p>
        </w:tc>
        <w:tc>
          <w:tcPr>
            <w:tcW w:w="2601" w:type="dxa"/>
            <w:tcBorders>
              <w:top w:val="single" w:color="auto" w:sz="4" w:space="0"/>
              <w:left w:val="single" w:color="auto" w:sz="4" w:space="0"/>
              <w:bottom w:val="single" w:color="auto" w:sz="4" w:space="0"/>
              <w:right w:val="single" w:color="auto" w:sz="4" w:space="0"/>
            </w:tcBorders>
            <w:shd w:val="clear" w:color="auto" w:fill="B3B3B3"/>
          </w:tcPr>
          <w:p w14:paraId="0A875187">
            <w:pPr>
              <w:numPr>
                <w:ilvl w:val="0"/>
                <w:numId w:val="0"/>
              </w:numPr>
              <w:ind w:leftChars="0"/>
              <w:jc w:val="center"/>
              <w:rPr>
                <w:sz w:val="24"/>
                <w:szCs w:val="24"/>
              </w:rPr>
            </w:pPr>
            <w:r>
              <w:rPr>
                <w:rFonts w:hint="eastAsia"/>
                <w:sz w:val="24"/>
                <w:szCs w:val="24"/>
                <w:lang w:val="en-US" w:eastAsia="zh-CN"/>
              </w:rPr>
              <w:t>TK</w:t>
            </w:r>
            <w:r>
              <w:rPr>
                <w:sz w:val="24"/>
                <w:szCs w:val="24"/>
              </w:rPr>
              <w:t>-5000</w:t>
            </w:r>
          </w:p>
        </w:tc>
      </w:tr>
      <w:tr w14:paraId="7954B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3283" w:type="dxa"/>
            <w:tcBorders>
              <w:top w:val="single" w:color="auto" w:sz="4" w:space="0"/>
              <w:left w:val="single" w:color="auto" w:sz="4" w:space="0"/>
              <w:bottom w:val="single" w:color="auto" w:sz="4" w:space="0"/>
              <w:right w:val="single" w:color="auto" w:sz="4" w:space="0"/>
            </w:tcBorders>
          </w:tcPr>
          <w:p w14:paraId="15BA36D5">
            <w:pPr>
              <w:numPr>
                <w:ilvl w:val="0"/>
                <w:numId w:val="0"/>
              </w:numPr>
              <w:ind w:leftChars="0"/>
              <w:jc w:val="center"/>
              <w:rPr>
                <w:sz w:val="24"/>
                <w:szCs w:val="24"/>
              </w:rPr>
            </w:pPr>
            <w:r>
              <w:rPr>
                <w:sz w:val="24"/>
                <w:szCs w:val="24"/>
              </w:rPr>
              <w:t>Voltage</w:t>
            </w:r>
          </w:p>
        </w:tc>
        <w:tc>
          <w:tcPr>
            <w:tcW w:w="7435" w:type="dxa"/>
            <w:gridSpan w:val="3"/>
            <w:tcBorders>
              <w:top w:val="single" w:color="auto" w:sz="4" w:space="0"/>
              <w:left w:val="single" w:color="auto" w:sz="4" w:space="0"/>
              <w:bottom w:val="single" w:color="auto" w:sz="4" w:space="0"/>
              <w:right w:val="single" w:color="auto" w:sz="4" w:space="0"/>
            </w:tcBorders>
          </w:tcPr>
          <w:p w14:paraId="7303F8FF">
            <w:pPr>
              <w:numPr>
                <w:ilvl w:val="0"/>
                <w:numId w:val="0"/>
              </w:numPr>
              <w:ind w:leftChars="0"/>
              <w:jc w:val="center"/>
              <w:rPr>
                <w:rFonts w:hint="default"/>
                <w:sz w:val="24"/>
                <w:szCs w:val="24"/>
                <w:lang w:val="en-US" w:eastAsia="zh-CN"/>
              </w:rPr>
            </w:pPr>
            <w:r>
              <w:rPr>
                <w:rFonts w:hint="eastAsia"/>
                <w:sz w:val="24"/>
                <w:szCs w:val="24"/>
                <w:lang w:val="en-US" w:eastAsia="zh-CN"/>
              </w:rPr>
              <w:t>380V 50HZ 3Phase or 220V 60HZ 3Phase</w:t>
            </w:r>
          </w:p>
        </w:tc>
      </w:tr>
      <w:tr w14:paraId="5DF47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3283" w:type="dxa"/>
            <w:tcBorders>
              <w:top w:val="single" w:color="auto" w:sz="4" w:space="0"/>
              <w:left w:val="single" w:color="auto" w:sz="4" w:space="0"/>
              <w:bottom w:val="single" w:color="auto" w:sz="4" w:space="0"/>
              <w:right w:val="single" w:color="auto" w:sz="4" w:space="0"/>
            </w:tcBorders>
          </w:tcPr>
          <w:p w14:paraId="1960276D">
            <w:pPr>
              <w:numPr>
                <w:ilvl w:val="0"/>
                <w:numId w:val="0"/>
              </w:numPr>
              <w:ind w:leftChars="0"/>
              <w:jc w:val="center"/>
              <w:rPr>
                <w:sz w:val="24"/>
                <w:szCs w:val="24"/>
              </w:rPr>
            </w:pPr>
            <w:r>
              <w:rPr>
                <w:sz w:val="24"/>
                <w:szCs w:val="24"/>
              </w:rPr>
              <w:t>Power</w:t>
            </w:r>
          </w:p>
        </w:tc>
        <w:tc>
          <w:tcPr>
            <w:tcW w:w="2417" w:type="dxa"/>
            <w:tcBorders>
              <w:top w:val="single" w:color="auto" w:sz="4" w:space="0"/>
              <w:left w:val="single" w:color="auto" w:sz="4" w:space="0"/>
              <w:bottom w:val="single" w:color="auto" w:sz="4" w:space="0"/>
              <w:right w:val="single" w:color="auto" w:sz="4" w:space="0"/>
            </w:tcBorders>
          </w:tcPr>
          <w:p w14:paraId="76287AA3">
            <w:pPr>
              <w:numPr>
                <w:ilvl w:val="0"/>
                <w:numId w:val="0"/>
              </w:numPr>
              <w:ind w:leftChars="0"/>
              <w:jc w:val="center"/>
              <w:rPr>
                <w:sz w:val="24"/>
                <w:szCs w:val="24"/>
              </w:rPr>
            </w:pPr>
            <w:r>
              <w:rPr>
                <w:rFonts w:hint="eastAsia"/>
                <w:sz w:val="24"/>
                <w:szCs w:val="24"/>
                <w:lang w:val="en-US" w:eastAsia="zh-CN"/>
              </w:rPr>
              <w:t>21</w:t>
            </w:r>
            <w:r>
              <w:rPr>
                <w:sz w:val="24"/>
                <w:szCs w:val="24"/>
              </w:rPr>
              <w:t>kw</w:t>
            </w:r>
          </w:p>
        </w:tc>
        <w:tc>
          <w:tcPr>
            <w:tcW w:w="2417" w:type="dxa"/>
            <w:tcBorders>
              <w:top w:val="single" w:color="auto" w:sz="4" w:space="0"/>
              <w:left w:val="single" w:color="auto" w:sz="4" w:space="0"/>
              <w:bottom w:val="single" w:color="auto" w:sz="4" w:space="0"/>
              <w:right w:val="single" w:color="auto" w:sz="4" w:space="0"/>
            </w:tcBorders>
          </w:tcPr>
          <w:p w14:paraId="4056540C">
            <w:pPr>
              <w:numPr>
                <w:ilvl w:val="0"/>
                <w:numId w:val="0"/>
              </w:numPr>
              <w:ind w:leftChars="0"/>
              <w:jc w:val="center"/>
              <w:rPr>
                <w:sz w:val="24"/>
                <w:szCs w:val="24"/>
              </w:rPr>
            </w:pPr>
            <w:r>
              <w:rPr>
                <w:rFonts w:hint="eastAsia"/>
                <w:sz w:val="24"/>
                <w:szCs w:val="24"/>
                <w:lang w:val="en-US" w:eastAsia="zh-CN"/>
              </w:rPr>
              <w:t>31</w:t>
            </w:r>
            <w:r>
              <w:rPr>
                <w:rFonts w:hint="eastAsia"/>
                <w:sz w:val="24"/>
                <w:szCs w:val="24"/>
              </w:rPr>
              <w:t>kw</w:t>
            </w:r>
          </w:p>
        </w:tc>
        <w:tc>
          <w:tcPr>
            <w:tcW w:w="2601" w:type="dxa"/>
            <w:tcBorders>
              <w:top w:val="single" w:color="auto" w:sz="4" w:space="0"/>
              <w:left w:val="single" w:color="auto" w:sz="4" w:space="0"/>
              <w:bottom w:val="single" w:color="auto" w:sz="4" w:space="0"/>
              <w:right w:val="single" w:color="auto" w:sz="4" w:space="0"/>
            </w:tcBorders>
          </w:tcPr>
          <w:p w14:paraId="392E8783">
            <w:pPr>
              <w:numPr>
                <w:ilvl w:val="0"/>
                <w:numId w:val="0"/>
              </w:numPr>
              <w:ind w:leftChars="0"/>
              <w:jc w:val="center"/>
              <w:rPr>
                <w:sz w:val="24"/>
                <w:szCs w:val="24"/>
              </w:rPr>
            </w:pPr>
            <w:r>
              <w:rPr>
                <w:rFonts w:hint="eastAsia"/>
                <w:sz w:val="24"/>
                <w:szCs w:val="24"/>
                <w:lang w:val="en-US" w:eastAsia="zh-CN"/>
              </w:rPr>
              <w:t>43</w:t>
            </w:r>
            <w:r>
              <w:rPr>
                <w:sz w:val="24"/>
                <w:szCs w:val="24"/>
              </w:rPr>
              <w:t>kw</w:t>
            </w:r>
          </w:p>
        </w:tc>
      </w:tr>
      <w:tr w14:paraId="438DC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3283" w:type="dxa"/>
            <w:tcBorders>
              <w:top w:val="single" w:color="auto" w:sz="4" w:space="0"/>
              <w:left w:val="single" w:color="auto" w:sz="4" w:space="0"/>
              <w:bottom w:val="single" w:color="auto" w:sz="4" w:space="0"/>
              <w:right w:val="single" w:color="auto" w:sz="4" w:space="0"/>
            </w:tcBorders>
          </w:tcPr>
          <w:p w14:paraId="6CB665C6">
            <w:pPr>
              <w:numPr>
                <w:ilvl w:val="0"/>
                <w:numId w:val="0"/>
              </w:numPr>
              <w:ind w:leftChars="0"/>
              <w:jc w:val="center"/>
              <w:rPr>
                <w:sz w:val="24"/>
                <w:szCs w:val="24"/>
              </w:rPr>
            </w:pPr>
            <w:r>
              <w:rPr>
                <w:sz w:val="24"/>
                <w:szCs w:val="24"/>
              </w:rPr>
              <w:t xml:space="preserve">China Peanut </w:t>
            </w:r>
            <w:r>
              <w:rPr>
                <w:rFonts w:hint="eastAsia"/>
                <w:sz w:val="24"/>
                <w:szCs w:val="24"/>
                <w:lang w:val="en-US" w:eastAsia="zh-CN"/>
              </w:rPr>
              <w:t xml:space="preserve">Input </w:t>
            </w:r>
            <w:r>
              <w:rPr>
                <w:sz w:val="24"/>
                <w:szCs w:val="24"/>
              </w:rPr>
              <w:t>Capacity</w:t>
            </w:r>
          </w:p>
        </w:tc>
        <w:tc>
          <w:tcPr>
            <w:tcW w:w="2417" w:type="dxa"/>
            <w:tcBorders>
              <w:top w:val="single" w:color="auto" w:sz="4" w:space="0"/>
              <w:left w:val="single" w:color="auto" w:sz="4" w:space="0"/>
              <w:bottom w:val="single" w:color="auto" w:sz="4" w:space="0"/>
              <w:right w:val="single" w:color="auto" w:sz="4" w:space="0"/>
            </w:tcBorders>
          </w:tcPr>
          <w:p w14:paraId="48F598BE">
            <w:pPr>
              <w:numPr>
                <w:ilvl w:val="0"/>
                <w:numId w:val="0"/>
              </w:numPr>
              <w:ind w:leftChars="0"/>
              <w:jc w:val="center"/>
              <w:rPr>
                <w:sz w:val="24"/>
                <w:szCs w:val="24"/>
              </w:rPr>
            </w:pPr>
            <w:r>
              <w:rPr>
                <w:rFonts w:hint="eastAsia"/>
                <w:sz w:val="24"/>
                <w:szCs w:val="24"/>
                <w:lang w:val="en-US" w:eastAsia="zh-CN"/>
              </w:rPr>
              <w:t>2t</w:t>
            </w:r>
            <w:r>
              <w:rPr>
                <w:sz w:val="24"/>
                <w:szCs w:val="24"/>
              </w:rPr>
              <w:t>/h</w:t>
            </w:r>
          </w:p>
        </w:tc>
        <w:tc>
          <w:tcPr>
            <w:tcW w:w="2417" w:type="dxa"/>
            <w:tcBorders>
              <w:top w:val="single" w:color="auto" w:sz="4" w:space="0"/>
              <w:left w:val="single" w:color="auto" w:sz="4" w:space="0"/>
              <w:bottom w:val="single" w:color="auto" w:sz="4" w:space="0"/>
              <w:right w:val="single" w:color="auto" w:sz="4" w:space="0"/>
            </w:tcBorders>
          </w:tcPr>
          <w:p w14:paraId="57F00FBC">
            <w:pPr>
              <w:numPr>
                <w:ilvl w:val="0"/>
                <w:numId w:val="0"/>
              </w:numPr>
              <w:ind w:leftChars="0"/>
              <w:jc w:val="center"/>
              <w:rPr>
                <w:sz w:val="24"/>
                <w:szCs w:val="24"/>
              </w:rPr>
            </w:pPr>
            <w:r>
              <w:rPr>
                <w:sz w:val="24"/>
                <w:szCs w:val="24"/>
              </w:rPr>
              <w:t>3</w:t>
            </w:r>
            <w:r>
              <w:rPr>
                <w:rFonts w:hint="eastAsia"/>
                <w:sz w:val="24"/>
                <w:szCs w:val="24"/>
                <w:lang w:val="en-US" w:eastAsia="zh-CN"/>
              </w:rPr>
              <w:t>t</w:t>
            </w:r>
            <w:r>
              <w:rPr>
                <w:sz w:val="24"/>
                <w:szCs w:val="24"/>
              </w:rPr>
              <w:t>/h</w:t>
            </w:r>
          </w:p>
        </w:tc>
        <w:tc>
          <w:tcPr>
            <w:tcW w:w="2601" w:type="dxa"/>
            <w:tcBorders>
              <w:top w:val="single" w:color="auto" w:sz="4" w:space="0"/>
              <w:left w:val="single" w:color="auto" w:sz="4" w:space="0"/>
              <w:bottom w:val="single" w:color="auto" w:sz="4" w:space="0"/>
              <w:right w:val="single" w:color="auto" w:sz="4" w:space="0"/>
            </w:tcBorders>
          </w:tcPr>
          <w:p w14:paraId="6790730D">
            <w:pPr>
              <w:numPr>
                <w:ilvl w:val="0"/>
                <w:numId w:val="0"/>
              </w:numPr>
              <w:ind w:leftChars="0"/>
              <w:jc w:val="center"/>
              <w:rPr>
                <w:sz w:val="24"/>
                <w:szCs w:val="24"/>
              </w:rPr>
            </w:pPr>
            <w:r>
              <w:rPr>
                <w:sz w:val="24"/>
                <w:szCs w:val="24"/>
              </w:rPr>
              <w:t>5</w:t>
            </w:r>
            <w:r>
              <w:rPr>
                <w:rFonts w:hint="eastAsia"/>
                <w:sz w:val="24"/>
                <w:szCs w:val="24"/>
                <w:lang w:val="en-US" w:eastAsia="zh-CN"/>
              </w:rPr>
              <w:t>t</w:t>
            </w:r>
            <w:r>
              <w:rPr>
                <w:sz w:val="24"/>
                <w:szCs w:val="24"/>
              </w:rPr>
              <w:t>/h</w:t>
            </w:r>
          </w:p>
        </w:tc>
      </w:tr>
      <w:tr w14:paraId="1C3B7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3283" w:type="dxa"/>
            <w:tcBorders>
              <w:top w:val="single" w:color="auto" w:sz="4" w:space="0"/>
              <w:left w:val="single" w:color="auto" w:sz="4" w:space="0"/>
              <w:bottom w:val="single" w:color="auto" w:sz="4" w:space="0"/>
              <w:right w:val="single" w:color="auto" w:sz="4" w:space="0"/>
            </w:tcBorders>
          </w:tcPr>
          <w:p w14:paraId="38DA6F31">
            <w:pPr>
              <w:numPr>
                <w:ilvl w:val="0"/>
                <w:numId w:val="0"/>
              </w:numPr>
              <w:ind w:leftChars="0"/>
              <w:jc w:val="center"/>
              <w:rPr>
                <w:rFonts w:hint="default" w:eastAsiaTheme="minorEastAsia"/>
                <w:sz w:val="24"/>
                <w:szCs w:val="24"/>
                <w:lang w:val="en-US" w:eastAsia="zh-CN"/>
              </w:rPr>
            </w:pPr>
            <w:r>
              <w:rPr>
                <w:rFonts w:hint="eastAsia"/>
                <w:sz w:val="24"/>
                <w:szCs w:val="24"/>
                <w:lang w:val="en-US" w:eastAsia="zh-CN"/>
              </w:rPr>
              <w:t>China Peanut Output Capacity</w:t>
            </w:r>
          </w:p>
        </w:tc>
        <w:tc>
          <w:tcPr>
            <w:tcW w:w="2417" w:type="dxa"/>
            <w:tcBorders>
              <w:top w:val="single" w:color="auto" w:sz="4" w:space="0"/>
              <w:left w:val="single" w:color="auto" w:sz="4" w:space="0"/>
              <w:bottom w:val="single" w:color="auto" w:sz="4" w:space="0"/>
              <w:right w:val="single" w:color="auto" w:sz="4" w:space="0"/>
            </w:tcBorders>
          </w:tcPr>
          <w:p w14:paraId="2EFE7126">
            <w:pPr>
              <w:numPr>
                <w:ilvl w:val="0"/>
                <w:numId w:val="0"/>
              </w:numPr>
              <w:ind w:leftChars="0"/>
              <w:jc w:val="center"/>
              <w:rPr>
                <w:sz w:val="24"/>
                <w:szCs w:val="24"/>
              </w:rPr>
            </w:pPr>
            <w:r>
              <w:rPr>
                <w:rFonts w:hint="eastAsia"/>
                <w:sz w:val="24"/>
                <w:szCs w:val="24"/>
              </w:rPr>
              <w:t>1.5-2t/h</w:t>
            </w:r>
          </w:p>
        </w:tc>
        <w:tc>
          <w:tcPr>
            <w:tcW w:w="2417" w:type="dxa"/>
            <w:tcBorders>
              <w:top w:val="single" w:color="auto" w:sz="4" w:space="0"/>
              <w:left w:val="single" w:color="auto" w:sz="4" w:space="0"/>
              <w:bottom w:val="single" w:color="auto" w:sz="4" w:space="0"/>
              <w:right w:val="single" w:color="auto" w:sz="4" w:space="0"/>
            </w:tcBorders>
          </w:tcPr>
          <w:p w14:paraId="25BC11B8">
            <w:pPr>
              <w:numPr>
                <w:ilvl w:val="0"/>
                <w:numId w:val="0"/>
              </w:numPr>
              <w:ind w:leftChars="0"/>
              <w:jc w:val="center"/>
              <w:rPr>
                <w:sz w:val="24"/>
                <w:szCs w:val="24"/>
              </w:rPr>
            </w:pPr>
            <w:r>
              <w:rPr>
                <w:rFonts w:hint="eastAsia"/>
                <w:sz w:val="24"/>
                <w:szCs w:val="24"/>
              </w:rPr>
              <w:t>2-2.5t/h</w:t>
            </w:r>
          </w:p>
        </w:tc>
        <w:tc>
          <w:tcPr>
            <w:tcW w:w="2601" w:type="dxa"/>
            <w:tcBorders>
              <w:top w:val="single" w:color="auto" w:sz="4" w:space="0"/>
              <w:left w:val="single" w:color="auto" w:sz="4" w:space="0"/>
              <w:bottom w:val="single" w:color="auto" w:sz="4" w:space="0"/>
              <w:right w:val="single" w:color="auto" w:sz="4" w:space="0"/>
            </w:tcBorders>
          </w:tcPr>
          <w:p w14:paraId="7714E5AB">
            <w:pPr>
              <w:numPr>
                <w:ilvl w:val="0"/>
                <w:numId w:val="0"/>
              </w:numPr>
              <w:ind w:leftChars="0"/>
              <w:jc w:val="center"/>
              <w:rPr>
                <w:sz w:val="24"/>
                <w:szCs w:val="24"/>
              </w:rPr>
            </w:pPr>
            <w:r>
              <w:rPr>
                <w:rFonts w:hint="eastAsia"/>
                <w:sz w:val="24"/>
                <w:szCs w:val="24"/>
              </w:rPr>
              <w:t>3.5-4t/h</w:t>
            </w:r>
          </w:p>
        </w:tc>
      </w:tr>
      <w:tr w14:paraId="5B365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3283" w:type="dxa"/>
            <w:tcBorders>
              <w:top w:val="single" w:color="auto" w:sz="4" w:space="0"/>
              <w:left w:val="single" w:color="auto" w:sz="4" w:space="0"/>
              <w:bottom w:val="single" w:color="auto" w:sz="4" w:space="0"/>
              <w:right w:val="single" w:color="auto" w:sz="4" w:space="0"/>
            </w:tcBorders>
          </w:tcPr>
          <w:p w14:paraId="26511BDB">
            <w:pPr>
              <w:numPr>
                <w:ilvl w:val="0"/>
                <w:numId w:val="0"/>
              </w:numPr>
              <w:ind w:leftChars="0"/>
              <w:jc w:val="center"/>
              <w:rPr>
                <w:sz w:val="24"/>
                <w:szCs w:val="24"/>
              </w:rPr>
            </w:pPr>
            <w:r>
              <w:rPr>
                <w:sz w:val="24"/>
                <w:szCs w:val="24"/>
              </w:rPr>
              <w:t>Peeling Rate</w:t>
            </w:r>
          </w:p>
        </w:tc>
        <w:tc>
          <w:tcPr>
            <w:tcW w:w="2417" w:type="dxa"/>
            <w:tcBorders>
              <w:top w:val="single" w:color="auto" w:sz="4" w:space="0"/>
              <w:left w:val="single" w:color="auto" w:sz="4" w:space="0"/>
              <w:bottom w:val="single" w:color="auto" w:sz="4" w:space="0"/>
              <w:right w:val="single" w:color="auto" w:sz="4" w:space="0"/>
            </w:tcBorders>
          </w:tcPr>
          <w:p w14:paraId="53D0D8D6">
            <w:pPr>
              <w:numPr>
                <w:ilvl w:val="0"/>
                <w:numId w:val="0"/>
              </w:numPr>
              <w:ind w:leftChars="0"/>
              <w:jc w:val="center"/>
              <w:rPr>
                <w:sz w:val="24"/>
                <w:szCs w:val="24"/>
              </w:rPr>
            </w:pPr>
            <w:r>
              <w:rPr>
                <w:sz w:val="24"/>
                <w:szCs w:val="24"/>
              </w:rPr>
              <w:t>99%</w:t>
            </w:r>
          </w:p>
        </w:tc>
        <w:tc>
          <w:tcPr>
            <w:tcW w:w="2417" w:type="dxa"/>
            <w:tcBorders>
              <w:top w:val="single" w:color="auto" w:sz="4" w:space="0"/>
              <w:left w:val="single" w:color="auto" w:sz="4" w:space="0"/>
              <w:bottom w:val="single" w:color="auto" w:sz="4" w:space="0"/>
              <w:right w:val="single" w:color="auto" w:sz="4" w:space="0"/>
            </w:tcBorders>
          </w:tcPr>
          <w:p w14:paraId="78461F49">
            <w:pPr>
              <w:numPr>
                <w:ilvl w:val="0"/>
                <w:numId w:val="0"/>
              </w:numPr>
              <w:ind w:leftChars="0"/>
              <w:jc w:val="center"/>
              <w:rPr>
                <w:sz w:val="24"/>
                <w:szCs w:val="24"/>
              </w:rPr>
            </w:pPr>
            <w:r>
              <w:rPr>
                <w:sz w:val="24"/>
                <w:szCs w:val="24"/>
              </w:rPr>
              <w:t>99%</w:t>
            </w:r>
          </w:p>
        </w:tc>
        <w:tc>
          <w:tcPr>
            <w:tcW w:w="2601" w:type="dxa"/>
            <w:tcBorders>
              <w:top w:val="single" w:color="auto" w:sz="4" w:space="0"/>
              <w:left w:val="single" w:color="auto" w:sz="4" w:space="0"/>
              <w:bottom w:val="single" w:color="auto" w:sz="4" w:space="0"/>
              <w:right w:val="single" w:color="auto" w:sz="4" w:space="0"/>
            </w:tcBorders>
          </w:tcPr>
          <w:p w14:paraId="093E892E">
            <w:pPr>
              <w:numPr>
                <w:ilvl w:val="0"/>
                <w:numId w:val="0"/>
              </w:numPr>
              <w:ind w:leftChars="0"/>
              <w:jc w:val="center"/>
              <w:rPr>
                <w:sz w:val="24"/>
                <w:szCs w:val="24"/>
              </w:rPr>
            </w:pPr>
            <w:r>
              <w:rPr>
                <w:sz w:val="24"/>
                <w:szCs w:val="24"/>
              </w:rPr>
              <w:t>99%</w:t>
            </w:r>
          </w:p>
        </w:tc>
      </w:tr>
      <w:tr w14:paraId="0E19C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3283" w:type="dxa"/>
            <w:tcBorders>
              <w:top w:val="single" w:color="auto" w:sz="4" w:space="0"/>
              <w:left w:val="single" w:color="auto" w:sz="4" w:space="0"/>
              <w:bottom w:val="single" w:color="auto" w:sz="4" w:space="0"/>
              <w:right w:val="single" w:color="auto" w:sz="4" w:space="0"/>
            </w:tcBorders>
          </w:tcPr>
          <w:p w14:paraId="71993FFC">
            <w:pPr>
              <w:numPr>
                <w:ilvl w:val="0"/>
                <w:numId w:val="0"/>
              </w:numPr>
              <w:ind w:leftChars="0"/>
              <w:jc w:val="center"/>
              <w:rPr>
                <w:sz w:val="24"/>
                <w:szCs w:val="24"/>
              </w:rPr>
            </w:pPr>
            <w:r>
              <w:rPr>
                <w:sz w:val="24"/>
                <w:szCs w:val="24"/>
              </w:rPr>
              <w:t>Breaking Rate</w:t>
            </w:r>
          </w:p>
        </w:tc>
        <w:tc>
          <w:tcPr>
            <w:tcW w:w="2417" w:type="dxa"/>
            <w:tcBorders>
              <w:top w:val="single" w:color="auto" w:sz="4" w:space="0"/>
              <w:left w:val="single" w:color="auto" w:sz="4" w:space="0"/>
              <w:bottom w:val="single" w:color="auto" w:sz="4" w:space="0"/>
              <w:right w:val="single" w:color="auto" w:sz="4" w:space="0"/>
            </w:tcBorders>
          </w:tcPr>
          <w:p w14:paraId="6BC9C369">
            <w:pPr>
              <w:numPr>
                <w:ilvl w:val="0"/>
                <w:numId w:val="0"/>
              </w:numPr>
              <w:ind w:leftChars="0"/>
              <w:jc w:val="center"/>
              <w:rPr>
                <w:sz w:val="24"/>
                <w:szCs w:val="24"/>
              </w:rPr>
            </w:pPr>
            <w:r>
              <w:rPr>
                <w:sz w:val="24"/>
                <w:szCs w:val="24"/>
              </w:rPr>
              <w:t>2%</w:t>
            </w:r>
          </w:p>
        </w:tc>
        <w:tc>
          <w:tcPr>
            <w:tcW w:w="2417" w:type="dxa"/>
            <w:tcBorders>
              <w:top w:val="single" w:color="auto" w:sz="4" w:space="0"/>
              <w:left w:val="single" w:color="auto" w:sz="4" w:space="0"/>
              <w:bottom w:val="single" w:color="auto" w:sz="4" w:space="0"/>
              <w:right w:val="single" w:color="auto" w:sz="4" w:space="0"/>
            </w:tcBorders>
          </w:tcPr>
          <w:p w14:paraId="588E3BC2">
            <w:pPr>
              <w:numPr>
                <w:ilvl w:val="0"/>
                <w:numId w:val="0"/>
              </w:numPr>
              <w:ind w:leftChars="0"/>
              <w:jc w:val="center"/>
              <w:rPr>
                <w:sz w:val="24"/>
                <w:szCs w:val="24"/>
              </w:rPr>
            </w:pPr>
            <w:r>
              <w:rPr>
                <w:sz w:val="24"/>
                <w:szCs w:val="24"/>
              </w:rPr>
              <w:t>2%</w:t>
            </w:r>
          </w:p>
        </w:tc>
        <w:tc>
          <w:tcPr>
            <w:tcW w:w="2601" w:type="dxa"/>
            <w:tcBorders>
              <w:top w:val="single" w:color="auto" w:sz="4" w:space="0"/>
              <w:left w:val="single" w:color="auto" w:sz="4" w:space="0"/>
              <w:bottom w:val="single" w:color="auto" w:sz="4" w:space="0"/>
              <w:right w:val="single" w:color="auto" w:sz="4" w:space="0"/>
            </w:tcBorders>
          </w:tcPr>
          <w:p w14:paraId="7D0CBA0A">
            <w:pPr>
              <w:numPr>
                <w:ilvl w:val="0"/>
                <w:numId w:val="0"/>
              </w:numPr>
              <w:ind w:leftChars="0"/>
              <w:jc w:val="center"/>
              <w:rPr>
                <w:sz w:val="24"/>
                <w:szCs w:val="24"/>
              </w:rPr>
            </w:pPr>
            <w:r>
              <w:rPr>
                <w:sz w:val="24"/>
                <w:szCs w:val="24"/>
              </w:rPr>
              <w:t>2%</w:t>
            </w:r>
          </w:p>
        </w:tc>
      </w:tr>
      <w:tr w14:paraId="1A921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3283" w:type="dxa"/>
            <w:tcBorders>
              <w:top w:val="single" w:color="auto" w:sz="4" w:space="0"/>
              <w:left w:val="single" w:color="auto" w:sz="4" w:space="0"/>
              <w:bottom w:val="single" w:color="auto" w:sz="4" w:space="0"/>
              <w:right w:val="single" w:color="auto" w:sz="4" w:space="0"/>
            </w:tcBorders>
          </w:tcPr>
          <w:p w14:paraId="0D669C30">
            <w:pPr>
              <w:numPr>
                <w:ilvl w:val="0"/>
                <w:numId w:val="0"/>
              </w:numPr>
              <w:ind w:leftChars="0"/>
              <w:jc w:val="center"/>
              <w:rPr>
                <w:sz w:val="24"/>
                <w:szCs w:val="24"/>
              </w:rPr>
            </w:pPr>
            <w:r>
              <w:rPr>
                <w:sz w:val="24"/>
                <w:szCs w:val="24"/>
              </w:rPr>
              <w:t>Weight</w:t>
            </w:r>
          </w:p>
        </w:tc>
        <w:tc>
          <w:tcPr>
            <w:tcW w:w="2417" w:type="dxa"/>
            <w:tcBorders>
              <w:top w:val="single" w:color="auto" w:sz="4" w:space="0"/>
              <w:left w:val="single" w:color="auto" w:sz="4" w:space="0"/>
              <w:bottom w:val="single" w:color="auto" w:sz="4" w:space="0"/>
              <w:right w:val="single" w:color="auto" w:sz="4" w:space="0"/>
            </w:tcBorders>
          </w:tcPr>
          <w:p w14:paraId="53CC792B">
            <w:pPr>
              <w:numPr>
                <w:ilvl w:val="0"/>
                <w:numId w:val="0"/>
              </w:numPr>
              <w:ind w:leftChars="0"/>
              <w:jc w:val="center"/>
              <w:rPr>
                <w:sz w:val="24"/>
                <w:szCs w:val="24"/>
              </w:rPr>
            </w:pPr>
            <w:r>
              <w:rPr>
                <w:rFonts w:hint="eastAsia"/>
                <w:sz w:val="24"/>
                <w:szCs w:val="24"/>
                <w:lang w:val="en-US" w:eastAsia="zh-CN"/>
              </w:rPr>
              <w:t>13</w:t>
            </w:r>
            <w:r>
              <w:rPr>
                <w:sz w:val="24"/>
                <w:szCs w:val="24"/>
              </w:rPr>
              <w:t>00kgs</w:t>
            </w:r>
          </w:p>
        </w:tc>
        <w:tc>
          <w:tcPr>
            <w:tcW w:w="2417" w:type="dxa"/>
            <w:tcBorders>
              <w:top w:val="single" w:color="auto" w:sz="4" w:space="0"/>
              <w:left w:val="single" w:color="auto" w:sz="4" w:space="0"/>
              <w:bottom w:val="single" w:color="auto" w:sz="4" w:space="0"/>
              <w:right w:val="single" w:color="auto" w:sz="4" w:space="0"/>
            </w:tcBorders>
          </w:tcPr>
          <w:p w14:paraId="42FC6BE4">
            <w:pPr>
              <w:numPr>
                <w:ilvl w:val="0"/>
                <w:numId w:val="0"/>
              </w:numPr>
              <w:ind w:leftChars="0"/>
              <w:jc w:val="center"/>
              <w:rPr>
                <w:sz w:val="24"/>
                <w:szCs w:val="24"/>
              </w:rPr>
            </w:pPr>
            <w:r>
              <w:rPr>
                <w:sz w:val="24"/>
                <w:szCs w:val="24"/>
              </w:rPr>
              <w:t>1</w:t>
            </w:r>
            <w:r>
              <w:rPr>
                <w:rFonts w:hint="eastAsia"/>
                <w:sz w:val="24"/>
                <w:szCs w:val="24"/>
                <w:lang w:val="en-US" w:eastAsia="zh-CN"/>
              </w:rPr>
              <w:t>600</w:t>
            </w:r>
            <w:r>
              <w:rPr>
                <w:sz w:val="24"/>
                <w:szCs w:val="24"/>
              </w:rPr>
              <w:t>kgs</w:t>
            </w:r>
          </w:p>
        </w:tc>
        <w:tc>
          <w:tcPr>
            <w:tcW w:w="2601" w:type="dxa"/>
            <w:tcBorders>
              <w:top w:val="single" w:color="auto" w:sz="4" w:space="0"/>
              <w:left w:val="single" w:color="auto" w:sz="4" w:space="0"/>
              <w:bottom w:val="single" w:color="auto" w:sz="4" w:space="0"/>
              <w:right w:val="single" w:color="auto" w:sz="4" w:space="0"/>
            </w:tcBorders>
          </w:tcPr>
          <w:p w14:paraId="42A6A4ED">
            <w:pPr>
              <w:numPr>
                <w:ilvl w:val="0"/>
                <w:numId w:val="0"/>
              </w:numPr>
              <w:ind w:leftChars="0"/>
              <w:jc w:val="center"/>
              <w:rPr>
                <w:sz w:val="24"/>
                <w:szCs w:val="24"/>
              </w:rPr>
            </w:pPr>
            <w:r>
              <w:rPr>
                <w:rFonts w:hint="eastAsia"/>
                <w:sz w:val="24"/>
                <w:szCs w:val="24"/>
                <w:lang w:val="en-US" w:eastAsia="zh-CN"/>
              </w:rPr>
              <w:t>2000</w:t>
            </w:r>
            <w:r>
              <w:rPr>
                <w:sz w:val="24"/>
                <w:szCs w:val="24"/>
              </w:rPr>
              <w:t>kgs</w:t>
            </w:r>
          </w:p>
        </w:tc>
      </w:tr>
      <w:tr w14:paraId="7853B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3283" w:type="dxa"/>
            <w:tcBorders>
              <w:top w:val="single" w:color="auto" w:sz="4" w:space="0"/>
              <w:left w:val="single" w:color="auto" w:sz="4" w:space="0"/>
              <w:bottom w:val="single" w:color="auto" w:sz="4" w:space="0"/>
              <w:right w:val="single" w:color="auto" w:sz="4" w:space="0"/>
            </w:tcBorders>
          </w:tcPr>
          <w:p w14:paraId="11CF4415">
            <w:pPr>
              <w:numPr>
                <w:ilvl w:val="0"/>
                <w:numId w:val="0"/>
              </w:numPr>
              <w:ind w:leftChars="0"/>
              <w:jc w:val="center"/>
              <w:rPr>
                <w:rFonts w:hint="default" w:eastAsiaTheme="minorEastAsia"/>
                <w:sz w:val="24"/>
                <w:szCs w:val="24"/>
                <w:lang w:val="en-US" w:eastAsia="zh-CN"/>
              </w:rPr>
            </w:pPr>
            <w:r>
              <w:rPr>
                <w:rFonts w:hint="eastAsia"/>
                <w:sz w:val="24"/>
                <w:szCs w:val="24"/>
                <w:lang w:val="en-US" w:eastAsia="zh-CN"/>
              </w:rPr>
              <w:t>Size</w:t>
            </w:r>
          </w:p>
        </w:tc>
        <w:tc>
          <w:tcPr>
            <w:tcW w:w="2417" w:type="dxa"/>
            <w:tcBorders>
              <w:top w:val="single" w:color="auto" w:sz="4" w:space="0"/>
              <w:left w:val="single" w:color="auto" w:sz="4" w:space="0"/>
              <w:bottom w:val="single" w:color="auto" w:sz="4" w:space="0"/>
              <w:right w:val="single" w:color="auto" w:sz="4" w:space="0"/>
            </w:tcBorders>
          </w:tcPr>
          <w:p w14:paraId="1D199AA5">
            <w:pPr>
              <w:numPr>
                <w:ilvl w:val="0"/>
                <w:numId w:val="0"/>
              </w:numPr>
              <w:ind w:leftChars="0"/>
              <w:jc w:val="center"/>
              <w:rPr>
                <w:sz w:val="24"/>
                <w:szCs w:val="24"/>
              </w:rPr>
            </w:pPr>
            <w:r>
              <w:rPr>
                <w:rFonts w:hint="eastAsia"/>
                <w:sz w:val="24"/>
                <w:szCs w:val="24"/>
              </w:rPr>
              <w:t>2.2x1.3x2.6m(shelling)   2.1x1.1x1.7m(</w:t>
            </w:r>
            <w:r>
              <w:rPr>
                <w:rFonts w:hint="eastAsia"/>
                <w:sz w:val="24"/>
                <w:szCs w:val="24"/>
                <w:lang w:val="en-US" w:eastAsia="zh-CN"/>
              </w:rPr>
              <w:t>sorting</w:t>
            </w:r>
            <w:r>
              <w:rPr>
                <w:rFonts w:hint="eastAsia"/>
                <w:sz w:val="24"/>
                <w:szCs w:val="24"/>
              </w:rPr>
              <w:t>)</w:t>
            </w:r>
          </w:p>
        </w:tc>
        <w:tc>
          <w:tcPr>
            <w:tcW w:w="2417" w:type="dxa"/>
            <w:tcBorders>
              <w:top w:val="single" w:color="auto" w:sz="4" w:space="0"/>
              <w:left w:val="single" w:color="auto" w:sz="4" w:space="0"/>
              <w:bottom w:val="single" w:color="auto" w:sz="4" w:space="0"/>
              <w:right w:val="single" w:color="auto" w:sz="4" w:space="0"/>
            </w:tcBorders>
          </w:tcPr>
          <w:p w14:paraId="043690DB">
            <w:pPr>
              <w:numPr>
                <w:ilvl w:val="0"/>
                <w:numId w:val="0"/>
              </w:numPr>
              <w:ind w:leftChars="0"/>
              <w:jc w:val="center"/>
              <w:rPr>
                <w:sz w:val="24"/>
                <w:szCs w:val="24"/>
              </w:rPr>
            </w:pPr>
            <w:r>
              <w:rPr>
                <w:rFonts w:hint="eastAsia"/>
                <w:sz w:val="24"/>
                <w:szCs w:val="24"/>
              </w:rPr>
              <w:t>2.3x1.5x2.6m(shelling) 2.1x1.2x1.7m(</w:t>
            </w:r>
            <w:r>
              <w:rPr>
                <w:rFonts w:hint="eastAsia"/>
                <w:sz w:val="24"/>
                <w:szCs w:val="24"/>
                <w:lang w:val="en-US" w:eastAsia="zh-CN"/>
              </w:rPr>
              <w:t>sorting</w:t>
            </w:r>
            <w:r>
              <w:rPr>
                <w:rFonts w:hint="eastAsia"/>
                <w:sz w:val="24"/>
                <w:szCs w:val="24"/>
              </w:rPr>
              <w:t>)</w:t>
            </w:r>
          </w:p>
        </w:tc>
        <w:tc>
          <w:tcPr>
            <w:tcW w:w="2601" w:type="dxa"/>
            <w:tcBorders>
              <w:top w:val="single" w:color="auto" w:sz="4" w:space="0"/>
              <w:left w:val="single" w:color="auto" w:sz="4" w:space="0"/>
              <w:bottom w:val="single" w:color="auto" w:sz="4" w:space="0"/>
              <w:right w:val="single" w:color="auto" w:sz="4" w:space="0"/>
            </w:tcBorders>
          </w:tcPr>
          <w:p w14:paraId="7DF1A86C">
            <w:pPr>
              <w:numPr>
                <w:ilvl w:val="0"/>
                <w:numId w:val="0"/>
              </w:numPr>
              <w:ind w:leftChars="0"/>
              <w:jc w:val="center"/>
              <w:rPr>
                <w:sz w:val="24"/>
                <w:szCs w:val="24"/>
              </w:rPr>
            </w:pPr>
            <w:r>
              <w:rPr>
                <w:rFonts w:hint="eastAsia"/>
                <w:sz w:val="24"/>
                <w:szCs w:val="24"/>
              </w:rPr>
              <w:t>2.8x1.6x2.8m(shelling) 2.2x1.2x1.7m(</w:t>
            </w:r>
            <w:r>
              <w:rPr>
                <w:rFonts w:hint="eastAsia"/>
                <w:sz w:val="24"/>
                <w:szCs w:val="24"/>
                <w:lang w:val="en-US" w:eastAsia="zh-CN"/>
              </w:rPr>
              <w:t>sorting</w:t>
            </w:r>
            <w:r>
              <w:rPr>
                <w:rFonts w:hint="eastAsia"/>
                <w:sz w:val="24"/>
                <w:szCs w:val="24"/>
              </w:rPr>
              <w:t>)</w:t>
            </w:r>
          </w:p>
        </w:tc>
      </w:tr>
    </w:tbl>
    <w:p w14:paraId="79EE34FB">
      <w:pPr>
        <w:rPr>
          <w:sz w:val="24"/>
          <w:szCs w:val="24"/>
        </w:rPr>
      </w:pPr>
      <w:bookmarkStart w:id="0" w:name="_GoBack"/>
      <w:bookmarkEnd w:id="0"/>
    </w:p>
    <w:p w14:paraId="427376BD">
      <w:pPr>
        <w:rPr>
          <w:sz w:val="24"/>
          <w:szCs w:val="24"/>
        </w:rPr>
      </w:pPr>
      <w:r>
        <w:rPr>
          <w:b/>
          <w:sz w:val="24"/>
          <w:szCs w:val="24"/>
        </w:rPr>
        <w:t>F</w:t>
      </w:r>
      <w:r>
        <w:rPr>
          <w:rFonts w:hint="eastAsia"/>
          <w:b/>
          <w:sz w:val="24"/>
          <w:szCs w:val="24"/>
        </w:rPr>
        <w:t>inished product :</w:t>
      </w:r>
      <w:r>
        <w:rPr>
          <w:rFonts w:hint="eastAsia"/>
          <w:sz w:val="24"/>
          <w:szCs w:val="24"/>
        </w:rPr>
        <w:t xml:space="preserve"> </w:t>
      </w:r>
    </w:p>
    <w:p w14:paraId="629EFB10">
      <w:pPr>
        <w:rPr>
          <w:sz w:val="24"/>
          <w:szCs w:val="24"/>
        </w:rPr>
      </w:pPr>
      <w:r>
        <w:rPr>
          <w:sz w:val="24"/>
          <w:szCs w:val="24"/>
        </w:rPr>
        <w:t>P</w:t>
      </w:r>
      <w:r>
        <w:rPr>
          <w:rFonts w:hint="eastAsia"/>
          <w:sz w:val="24"/>
          <w:szCs w:val="24"/>
        </w:rPr>
        <w:t>eanut in shell                                 after shelling</w:t>
      </w:r>
    </w:p>
    <w:p w14:paraId="08127CD1">
      <w:pPr>
        <w:rPr>
          <w:sz w:val="24"/>
          <w:szCs w:val="24"/>
        </w:rPr>
      </w:pPr>
      <w:r>
        <w:rPr>
          <w:sz w:val="24"/>
          <w:szCs w:val="24"/>
        </w:rPr>
        <w:pict>
          <v:shape id="_x0000_s1027" o:spid="_x0000_s1027" o:spt="202" type="#_x0000_t202" style="position:absolute;left:0pt;margin-left:221.65pt;margin-top:9.15pt;height:117.4pt;width:165.05pt;z-index:251659264;mso-width-relative:margin;mso-height-relative:margin;mso-width-percent:400;mso-height-percent:200;" fillcolor="#FFFFFF" filled="t" stroked="t" coordsize="21600,21600">
            <v:path/>
            <v:fill on="t" focussize="0,0"/>
            <v:stroke weight="1pt" color="#4F81BD" dashstyle="dash"/>
            <v:imagedata o:title=""/>
            <o:lock v:ext="edit"/>
            <v:textbox style="mso-fit-shape-to-text:t;">
              <w:txbxContent>
                <w:p w14:paraId="1C4B13AB">
                  <w:r>
                    <w:drawing>
                      <wp:inline distT="0" distB="0" distL="0" distR="0">
                        <wp:extent cx="1906270" cy="1228090"/>
                        <wp:effectExtent l="19050" t="0" r="0" b="0"/>
                        <wp:docPr id="4" name="图片 2" descr="C:\Users\Administrator\Desktop\花生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C:\Users\Administrator\Desktop\花生仁.jpg"/>
                                <pic:cNvPicPr>
                                  <a:picLocks noChangeAspect="1" noChangeArrowheads="1"/>
                                </pic:cNvPicPr>
                              </pic:nvPicPr>
                              <pic:blipFill>
                                <a:blip r:embed="rId4"/>
                                <a:srcRect/>
                                <a:stretch>
                                  <a:fillRect/>
                                </a:stretch>
                              </pic:blipFill>
                              <pic:spPr>
                                <a:xfrm>
                                  <a:off x="0" y="0"/>
                                  <a:ext cx="1906270" cy="1228296"/>
                                </a:xfrm>
                                <a:prstGeom prst="rect">
                                  <a:avLst/>
                                </a:prstGeom>
                                <a:noFill/>
                                <a:ln w="9525">
                                  <a:noFill/>
                                  <a:miter lim="800000"/>
                                  <a:headEnd/>
                                  <a:tailEnd/>
                                </a:ln>
                              </pic:spPr>
                            </pic:pic>
                          </a:graphicData>
                        </a:graphic>
                      </wp:inline>
                    </w:drawing>
                  </w:r>
                </w:p>
              </w:txbxContent>
            </v:textbox>
          </v:shape>
        </w:pict>
      </w:r>
      <w:r>
        <w:rPr>
          <w:sz w:val="24"/>
          <w:szCs w:val="24"/>
        </w:rPr>
        <w:pict>
          <v:shape id="_x0000_s1026" o:spid="_x0000_s1026" o:spt="202" type="#_x0000_t202" style="position:absolute;left:0pt;margin-left:-17pt;margin-top:8.65pt;height:117.4pt;width:165.05pt;z-index:251660288;mso-width-relative:margin;mso-height-relative:margin;mso-width-percent:400;mso-height-percent:200;" fillcolor="#FFFFFF" filled="t" stroked="t" coordsize="21600,21600">
            <v:path/>
            <v:fill on="t" focussize="0,0"/>
            <v:stroke weight="1pt" color="#4F81BD" dashstyle="dash"/>
            <v:imagedata o:title=""/>
            <o:lock v:ext="edit"/>
            <v:textbox style="mso-fit-shape-to-text:t;">
              <w:txbxContent>
                <w:p w14:paraId="7DCFFDE8">
                  <w:r>
                    <w:drawing>
                      <wp:inline distT="0" distB="0" distL="0" distR="0">
                        <wp:extent cx="1906270" cy="1316355"/>
                        <wp:effectExtent l="19050" t="0" r="0" b="0"/>
                        <wp:docPr id="1" name="图片 1" descr="C:\Users\Administrator\Desktop\花生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花生果.jpg"/>
                                <pic:cNvPicPr>
                                  <a:picLocks noChangeAspect="1" noChangeArrowheads="1"/>
                                </pic:cNvPicPr>
                              </pic:nvPicPr>
                              <pic:blipFill>
                                <a:blip r:embed="rId5"/>
                                <a:srcRect/>
                                <a:stretch>
                                  <a:fillRect/>
                                </a:stretch>
                              </pic:blipFill>
                              <pic:spPr>
                                <a:xfrm>
                                  <a:off x="0" y="0"/>
                                  <a:ext cx="1906270" cy="1316932"/>
                                </a:xfrm>
                                <a:prstGeom prst="rect">
                                  <a:avLst/>
                                </a:prstGeom>
                                <a:noFill/>
                                <a:ln w="9525">
                                  <a:noFill/>
                                  <a:miter lim="800000"/>
                                  <a:headEnd/>
                                  <a:tailEnd/>
                                </a:ln>
                              </pic:spPr>
                            </pic:pic>
                          </a:graphicData>
                        </a:graphic>
                      </wp:inline>
                    </w:drawing>
                  </w:r>
                </w:p>
              </w:txbxContent>
            </v:textbox>
          </v:shape>
        </w:pict>
      </w:r>
      <w:r>
        <w:rPr>
          <w:rFonts w:hint="eastAsia"/>
          <w:sz w:val="24"/>
          <w:szCs w:val="24"/>
        </w:rPr>
        <w:t xml:space="preserve">                     </w:t>
      </w:r>
    </w:p>
    <w:p w14:paraId="484B15E6">
      <w:pPr>
        <w:rPr>
          <w:sz w:val="24"/>
          <w:szCs w:val="24"/>
        </w:rPr>
      </w:pPr>
    </w:p>
    <w:p w14:paraId="0393E656">
      <w:pPr>
        <w:rPr>
          <w:sz w:val="24"/>
          <w:szCs w:val="24"/>
        </w:rPr>
      </w:pPr>
      <w:r>
        <w:rPr>
          <w:sz w:val="24"/>
          <w:szCs w:val="24"/>
        </w:rPr>
        <w:pict>
          <v:shape id="_x0000_s1028" o:spid="_x0000_s1028" o:spt="13" type="#_x0000_t13" style="position:absolute;left:0pt;margin-left:170.25pt;margin-top:10.75pt;height:38.25pt;width:33pt;z-index:251660288;mso-width-relative:page;mso-height-relative:page;" fillcolor="#F79646" filled="t" stroked="t" coordsize="21600,21600">
            <v:path/>
            <v:fill on="t" focussize="0,0"/>
            <v:stroke weight="3pt" color="#F2F2F2" joinstyle="miter"/>
            <v:imagedata o:title=""/>
            <o:lock v:ext="edit"/>
            <v:shadow on="t" type="perspective" color="#974706" opacity="32768f" offset="1pt,2pt" offset2="-1pt,-2pt"/>
          </v:shape>
        </w:pict>
      </w:r>
    </w:p>
    <w:p w14:paraId="5BF8132F">
      <w:pPr>
        <w:rPr>
          <w:sz w:val="24"/>
          <w:szCs w:val="24"/>
        </w:rPr>
      </w:pPr>
    </w:p>
    <w:p w14:paraId="5704D6C7">
      <w:pPr>
        <w:rPr>
          <w:sz w:val="24"/>
          <w:szCs w:val="24"/>
        </w:rPr>
      </w:pPr>
    </w:p>
    <w:p w14:paraId="6FB06EED">
      <w:pPr>
        <w:jc w:val="right"/>
        <w:rPr>
          <w:sz w:val="24"/>
          <w:szCs w:val="24"/>
        </w:rPr>
      </w:pPr>
    </w:p>
    <w:p w14:paraId="5E9C63BF">
      <w:pPr>
        <w:jc w:val="right"/>
        <w:rPr>
          <w:sz w:val="24"/>
          <w:szCs w:val="24"/>
        </w:rPr>
      </w:pPr>
    </w:p>
    <w:p w14:paraId="30AB74B9">
      <w:pPr>
        <w:jc w:val="right"/>
        <w:rPr>
          <w:sz w:val="24"/>
          <w:szCs w:val="24"/>
        </w:rPr>
      </w:pPr>
    </w:p>
    <w:p w14:paraId="3CA9AAFC">
      <w:pPr>
        <w:jc w:val="right"/>
        <w:rPr>
          <w:sz w:val="24"/>
          <w:szCs w:val="24"/>
        </w:rPr>
      </w:pPr>
    </w:p>
    <w:p w14:paraId="54114DDA">
      <w:pPr>
        <w:jc w:val="left"/>
        <w:rPr>
          <w:sz w:val="24"/>
          <w:szCs w:val="24"/>
        </w:rPr>
      </w:pPr>
      <w:r>
        <w:rPr>
          <w:rFonts w:hint="eastAsia"/>
          <w:sz w:val="24"/>
          <w:szCs w:val="24"/>
        </w:rPr>
        <w:t>Drawing</w:t>
      </w:r>
    </w:p>
    <w:p w14:paraId="36E488E6">
      <w:pPr>
        <w:jc w:val="left"/>
        <w:rPr>
          <w:sz w:val="24"/>
          <w:szCs w:val="24"/>
        </w:rPr>
      </w:pPr>
      <w:r>
        <w:rPr>
          <w:sz w:val="24"/>
          <w:szCs w:val="24"/>
        </w:rPr>
        <w:drawing>
          <wp:inline distT="0" distB="0" distL="0" distR="0">
            <wp:extent cx="5274310" cy="3368040"/>
            <wp:effectExtent l="19050" t="0" r="2540" b="0"/>
            <wp:docPr id="2" name="图片 1" descr="C:\Users\ADMINI~1\AppData\Local\Temp\151366383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C:\Users\ADMINI~1\AppData\Local\Temp\1513663832(1).png"/>
                    <pic:cNvPicPr>
                      <a:picLocks noChangeAspect="1" noChangeArrowheads="1"/>
                    </pic:cNvPicPr>
                  </pic:nvPicPr>
                  <pic:blipFill>
                    <a:blip r:embed="rId6" cstate="print"/>
                    <a:srcRect/>
                    <a:stretch>
                      <a:fillRect/>
                    </a:stretch>
                  </pic:blipFill>
                  <pic:spPr>
                    <a:xfrm>
                      <a:off x="0" y="0"/>
                      <a:ext cx="5274310" cy="3368402"/>
                    </a:xfrm>
                    <a:prstGeom prst="rect">
                      <a:avLst/>
                    </a:prstGeom>
                    <a:noFill/>
                    <a:ln w="9525">
                      <a:noFill/>
                      <a:miter lim="800000"/>
                      <a:headEnd/>
                      <a:tailEnd/>
                    </a:ln>
                  </pic:spPr>
                </pic:pic>
              </a:graphicData>
            </a:graphic>
          </wp:inline>
        </w:drawing>
      </w:r>
    </w:p>
    <w:p w14:paraId="7864BE30">
      <w:pPr>
        <w:widowControl/>
        <w:jc w:val="left"/>
        <w:rPr>
          <w:rFonts w:ascii="宋体" w:hAnsi="宋体" w:eastAsia="宋体" w:cs="宋体"/>
          <w:kern w:val="0"/>
          <w:sz w:val="24"/>
          <w:szCs w:val="24"/>
        </w:rPr>
      </w:pPr>
    </w:p>
    <w:p w14:paraId="4BE1211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F6C92"/>
    <w:rsid w:val="00194E16"/>
    <w:rsid w:val="005B1F1D"/>
    <w:rsid w:val="00666EE8"/>
    <w:rsid w:val="00A4455C"/>
    <w:rsid w:val="00B66359"/>
    <w:rsid w:val="00CF6C92"/>
    <w:rsid w:val="00DB2ED1"/>
    <w:rsid w:val="00E74834"/>
    <w:rsid w:val="00F14323"/>
    <w:rsid w:val="32A24F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semiHidden/>
    <w:unhideWhenUsed/>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Strong"/>
    <w:basedOn w:val="6"/>
    <w:qFormat/>
    <w:uiPriority w:val="22"/>
    <w:rPr>
      <w:b/>
      <w:bCs/>
    </w:rPr>
  </w:style>
  <w:style w:type="character" w:customStyle="1" w:styleId="8">
    <w:name w:val="页眉 字符"/>
    <w:basedOn w:val="6"/>
    <w:link w:val="4"/>
    <w:qFormat/>
    <w:uiPriority w:val="99"/>
    <w:rPr>
      <w:sz w:val="18"/>
      <w:szCs w:val="18"/>
    </w:rPr>
  </w:style>
  <w:style w:type="character" w:customStyle="1" w:styleId="9">
    <w:name w:val="页脚 字符"/>
    <w:basedOn w:val="6"/>
    <w:link w:val="3"/>
    <w:uiPriority w:val="99"/>
    <w:rPr>
      <w:sz w:val="18"/>
      <w:szCs w:val="18"/>
    </w:rPr>
  </w:style>
  <w:style w:type="character" w:customStyle="1" w:styleId="10">
    <w:name w:val="批注框文本 字符"/>
    <w:basedOn w:val="6"/>
    <w:link w:val="2"/>
    <w:semiHidden/>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Pages>
  <Words>297</Words>
  <Characters>1550</Characters>
  <Lines>13</Lines>
  <Paragraphs>3</Paragraphs>
  <TotalTime>0</TotalTime>
  <ScaleCrop>false</ScaleCrop>
  <LinksUpToDate>false</LinksUpToDate>
  <CharactersWithSpaces>1853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2017-12-08T02:25:00Z</dcterms:created>
  <dc:creator>微软用户</dc:creator>
  <cp:lastModifiedBy>新腾 XT - Medge</cp:lastModifiedBy>
  <dcterms:modified xsi:type="dcterms:W3CDTF">2025-11-14T06:34:03Z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eyJoZGlkIjoiNzMwNzBmZTZlZDIzODQ1YWNkZTQ3NzI3MTgxMTU5MGIiLCJ1c2VySWQiOiIxMjMyNDk2MzIxIn0=</vt:lpwstr>
  </property>
  <property fmtid="{D5CDD505-2E9C-101B-9397-08002B2CF9AE}" pid="3" name="KSOProductBuildVer">
    <vt:lpwstr>2052-12.1.0.23542</vt:lpwstr>
  </property>
  <property fmtid="{D5CDD505-2E9C-101B-9397-08002B2CF9AE}" pid="4" name="ICV">
    <vt:lpwstr>BDD0305ED15B4D6F951078C6919CBA4E_12</vt:lpwstr>
  </property>
</Properties>
</file>